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AB" w:rsidRDefault="001570AB" w:rsidP="001570AB">
      <w:pPr>
        <w:pStyle w:val="Caption"/>
        <w:jc w:val="center"/>
      </w:pPr>
      <w:r w:rsidRPr="00053295">
        <w:rPr>
          <w:rFonts w:ascii="Arial" w:hAnsi="Arial" w:cs="Arial"/>
          <w:b/>
          <w:i w:val="0"/>
          <w:color w:val="C00000"/>
          <w:sz w:val="22"/>
          <w:szCs w:val="22"/>
        </w:rPr>
        <w:t>Overview of biochemical, genet</w:t>
      </w:r>
      <w:bookmarkStart w:id="0" w:name="_GoBack"/>
      <w:bookmarkEnd w:id="0"/>
      <w:r w:rsidRPr="00053295">
        <w:rPr>
          <w:rFonts w:ascii="Arial" w:hAnsi="Arial" w:cs="Arial"/>
          <w:b/>
          <w:i w:val="0"/>
          <w:color w:val="C00000"/>
          <w:sz w:val="22"/>
          <w:szCs w:val="22"/>
        </w:rPr>
        <w:t>ic, epigenetic and transcriptomic biomarkers and derived phenotypes currently available in the NICOLA cohort</w:t>
      </w:r>
      <w:r w:rsidRPr="00053295">
        <w:rPr>
          <w:rFonts w:ascii="Arial" w:hAnsi="Arial" w:cs="Arial"/>
          <w:i w:val="0"/>
          <w:sz w:val="22"/>
          <w:szCs w:val="22"/>
        </w:rPr>
        <w:t>.</w:t>
      </w:r>
    </w:p>
    <w:p w:rsidR="001570AB" w:rsidRDefault="001570AB"/>
    <w:tbl>
      <w:tblPr>
        <w:tblStyle w:val="ListTable3-Accent1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6884"/>
      </w:tblGrid>
      <w:tr w:rsidR="001570AB" w:rsidRPr="008E360F" w:rsidTr="00AB2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4" w:type="dxa"/>
            <w:shd w:val="clear" w:color="auto" w:fill="C00000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Biomarker</w:t>
            </w:r>
          </w:p>
        </w:tc>
        <w:tc>
          <w:tcPr>
            <w:tcW w:w="6884" w:type="dxa"/>
            <w:shd w:val="clear" w:color="auto" w:fill="C00000"/>
            <w:noWrap/>
            <w:vAlign w:val="center"/>
            <w:hideMark/>
          </w:tcPr>
          <w:p w:rsidR="001570AB" w:rsidRPr="008E360F" w:rsidRDefault="001570AB" w:rsidP="00AB2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Derived Variables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Apolipoprotein</w:t>
            </w:r>
            <w:proofErr w:type="spellEnd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</w:t>
            </w: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Apolipoprotein</w:t>
            </w:r>
            <w:proofErr w:type="spellEnd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Cholesterol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Direct low-density lipoprotein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Gamma </w:t>
            </w: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Glutamyltransferase</w:t>
            </w:r>
            <w:proofErr w:type="spellEnd"/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High-density lipoprotein-Cholesterol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Lipoprotein (a)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Triglycerides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Alkaline phosphatase</w:t>
            </w: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Calcium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Rheumatoid factor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Vitamin D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Oestradiol</w:t>
            </w:r>
            <w:proofErr w:type="spellEnd"/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Sex hormone-binding globulin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Testosterone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Glucose</w:t>
            </w: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Creatinine</w:t>
            </w: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eGFR</w:t>
            </w:r>
            <w:proofErr w:type="spellEnd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equation based on serum creatinine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Cystatin C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eGFR</w:t>
            </w:r>
            <w:proofErr w:type="spellEnd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equation based on serum cystatin C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Phosphate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eGFR</w:t>
            </w:r>
            <w:proofErr w:type="spellEnd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combined equation based on serum creatinine and serum cystatin C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 protein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Chronic Kidney Disease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Urate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Chronic Kidney Disease Stage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Urea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End-Stage Renal Disease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Alanine aminotransferase</w:t>
            </w: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Albumin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Aspartate aminotransferase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Direct Bilirubin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Gamma </w:t>
            </w: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Glutamyltransferase</w:t>
            </w:r>
            <w:proofErr w:type="spellEnd"/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  <w:hideMark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 Bilirubin</w:t>
            </w:r>
          </w:p>
        </w:tc>
        <w:tc>
          <w:tcPr>
            <w:tcW w:w="6884" w:type="dxa"/>
            <w:noWrap/>
            <w:vAlign w:val="center"/>
            <w:hideMark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Infinium</w:t>
            </w:r>
            <w:proofErr w:type="spellEnd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CoreExome-24 Array</w:t>
            </w: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Imputation to the 1KGP3 reference panel </w:t>
            </w:r>
          </w:p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Imputation to the HRC reference panel</w:t>
            </w:r>
          </w:p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Clinically actionable variants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Annotated and Filtered VCF files </w:t>
            </w: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(Batches 1 &amp; 2; 1KGP3 &amp; HRC Panels)</w:t>
            </w:r>
            <w:r w:rsidRPr="008E3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: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VCF files with only polymorphic variants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Lists of monomorphic variants after imputation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Quality Control information of the imputation process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VCF files with polymorphic variants annotated with RS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VCF files with polymorphic variants with R2&gt;0.3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VCF files with polymorphic variants with R2&gt;0.3 and MAC≥5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VCF files with polymorphic variants with R2&gt;0.3 and MAC≥5 annotated with RS and gene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Kinships for relatedness in association analysis: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Kinship matrix for autosomes, 1KGP3 reference panel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Kinship matrix for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chrX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, 1KGP3 reference panel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Kinship matrix for autosomes, HRC reference panel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Kinship matrix for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chrX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, HRC reference panel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Software specific files </w:t>
            </w: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(Batches 1 &amp; 2; 1KGP3 &amp; HRC Panels)</w:t>
            </w:r>
            <w:r w:rsidRPr="008E3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: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Concatenated VCF files with polymorphic variants for kinship generation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Concatenated VCF files with polymorphic variants and duplicated SNPs removed for clumping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lastRenderedPageBreak/>
              <w:t>pgen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files for input in PLINK 2.00 alpha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Individual Genome-Wide Association Summary statistics for: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Total cholesterol 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HDL-cholesterol 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LDL-cholesterol 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Non-HDL cholesterol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Triglycerides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Height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Body-mass index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Waist-to-hip ratio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Early age-related macular degeneration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eGFR</w:t>
            </w:r>
            <w:proofErr w:type="spellEnd"/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Serum creatinine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Chronic kidney disease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Serum urea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Subretinal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drusenoid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deposits (reticular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pseudodrusen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Subretinal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drusenoid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deposits (reticular colour)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Macular pigment: peak height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Macular pigment: peak volume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Naevi</w:t>
            </w:r>
            <w:proofErr w:type="spellEnd"/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Arterial calibre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Venular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calibre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Arteriovenous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ratio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Arteriolar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fractal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dimension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Venular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fractal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dimension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Arteriolar tortuosity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Venular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tortuosity 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Lists of dosage information on SNPs provided for candidate SNPs and Genetic Risk Score projects: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55 SNPs previously associated with age-related macular degeneration 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64 SNPs previously associated with arsenic levels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Genome-Wide Association Meta-Analysis Summary statistics for: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Subretinal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drusenoid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deposits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(reticular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pseudodrusen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)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Subretinal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drusenoid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deposits (reticular colour)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Macular pigment: peak height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Macular pigment: peak volume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Naevi</w:t>
            </w:r>
            <w:proofErr w:type="spellEnd"/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Arterial calibre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Venular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calibre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Arteriovenous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ratio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Arteriolar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fractal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dimension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Venular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fractal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dimension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Arteriolar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tortuosity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 </w:t>
            </w:r>
          </w:p>
          <w:p w:rsidR="001570AB" w:rsidRPr="008E360F" w:rsidRDefault="001570AB" w:rsidP="00AB2605">
            <w:pPr>
              <w:ind w:lef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Venular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tortuosity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n-GB"/>
              </w:rPr>
              <w:t> 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Beta values (β)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M values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Proportional cell counts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Epigenetic clocks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Summary statistics for: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bookmarkStart w:id="1" w:name="_Hlk43119967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Alcohol consumption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Body-mass index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Education level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eGFR</w:t>
            </w:r>
            <w:proofErr w:type="spellEnd"/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Naevi</w:t>
            </w:r>
            <w:proofErr w:type="spellEnd"/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Physical activity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Risk preference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Serum urate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Smoking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Socioeconomic status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Subretinal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drusenoid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deposits (reticular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pseudodrusen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Subretinal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drusenoid</w:t>
            </w:r>
            <w:proofErr w:type="spellEnd"/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deposits (reticular colour)</w:t>
            </w:r>
          </w:p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Time preference</w:t>
            </w:r>
            <w:bookmarkEnd w:id="1"/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Gene expression counts</w:t>
            </w:r>
          </w:p>
        </w:tc>
      </w:tr>
      <w:tr w:rsidR="001570AB" w:rsidRPr="008E360F" w:rsidTr="00AB2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4" w:type="dxa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84" w:type="dxa"/>
            <w:noWrap/>
            <w:vAlign w:val="center"/>
          </w:tcPr>
          <w:p w:rsidR="001570AB" w:rsidRPr="008E360F" w:rsidRDefault="001570AB" w:rsidP="00AB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Summary statistics for:</w:t>
            </w:r>
          </w:p>
          <w:p w:rsidR="001570AB" w:rsidRPr="008E360F" w:rsidRDefault="001570AB" w:rsidP="00AB2605">
            <w:pPr>
              <w:ind w:left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Renal phenotypes</w:t>
            </w:r>
          </w:p>
        </w:tc>
      </w:tr>
      <w:tr w:rsidR="001570AB" w:rsidRPr="008E360F" w:rsidTr="00AB2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noWrap/>
            <w:vAlign w:val="center"/>
          </w:tcPr>
          <w:p w:rsidR="001570AB" w:rsidRPr="008E360F" w:rsidRDefault="001570AB" w:rsidP="00AB2605">
            <w:pPr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  <w:lang w:eastAsia="en-GB"/>
              </w:rPr>
            </w:pPr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Abbreviations: 1KGP3: 1000 Genomes Phase3 v5; </w:t>
            </w: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</w:t>
            </w:r>
            <w:proofErr w:type="spellEnd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: chromosome; </w:t>
            </w:r>
            <w:proofErr w:type="spellStart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eGFR</w:t>
            </w:r>
            <w:proofErr w:type="spellEnd"/>
            <w:r w:rsidRPr="008E3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: estimated glomerular filtration ratio; HDL: High-density lipoproteins; HRC: Haplotype Reference Consortium; LDL: Low-density lipoproteins; VCF: Variant Call Format.</w:t>
            </w:r>
          </w:p>
        </w:tc>
      </w:tr>
    </w:tbl>
    <w:p w:rsidR="001570AB" w:rsidRDefault="001570AB"/>
    <w:sectPr w:rsidR="00157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AB"/>
    <w:rsid w:val="001570AB"/>
    <w:rsid w:val="00404D4F"/>
    <w:rsid w:val="0085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318A"/>
  <w15:chartTrackingRefBased/>
  <w15:docId w15:val="{C93C1F79-B7F6-4446-B1AF-7460F685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rsid w:val="001570A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570AB"/>
    <w:pPr>
      <w:spacing w:after="200" w:line="240" w:lineRule="auto"/>
      <w:jc w:val="both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Neville</dc:creator>
  <cp:keywords/>
  <dc:description/>
  <cp:lastModifiedBy>Charlotte Neville</cp:lastModifiedBy>
  <cp:revision>1</cp:revision>
  <dcterms:created xsi:type="dcterms:W3CDTF">2020-11-18T11:56:00Z</dcterms:created>
  <dcterms:modified xsi:type="dcterms:W3CDTF">2020-11-18T12:01:00Z</dcterms:modified>
</cp:coreProperties>
</file>